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w:t>
      </w:r>
      <w:r w:rsidR="00662811">
        <w:rPr>
          <w:b/>
          <w:sz w:val="28"/>
        </w:rPr>
        <w:t>BACHELOR OF ARTS IN BIBLE &amp; THEOLOGY</w:t>
      </w:r>
      <w:r w:rsidR="006B1211" w:rsidRPr="00C32FAB">
        <w:rPr>
          <w:b/>
          <w:sz w:val="28"/>
        </w:rPr>
        <w:t xml:space="preserve"> – </w:t>
      </w:r>
      <w:r w:rsidR="00662811">
        <w:rPr>
          <w:b/>
          <w:sz w:val="28"/>
        </w:rPr>
        <w:t>4</w:t>
      </w:r>
      <w:r w:rsidR="006B1211" w:rsidRPr="00C32FAB">
        <w:rPr>
          <w:b/>
          <w:sz w:val="28"/>
        </w:rPr>
        <w:t xml:space="preserve"> YEAR</w:t>
      </w:r>
      <w:r w:rsidR="00CB2146">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5E430A" w:rsidTr="005E430A">
        <w:tc>
          <w:tcPr>
            <w:tcW w:w="1615" w:type="dxa"/>
            <w:vAlign w:val="center"/>
          </w:tcPr>
          <w:p w:rsidR="005E430A" w:rsidRDefault="005E430A" w:rsidP="005E430A">
            <w:pPr>
              <w:jc w:val="center"/>
              <w:rPr>
                <w:sz w:val="24"/>
              </w:rPr>
            </w:pPr>
            <w:r>
              <w:rPr>
                <w:sz w:val="24"/>
              </w:rPr>
              <w:t>2014</w:t>
            </w:r>
          </w:p>
        </w:tc>
        <w:tc>
          <w:tcPr>
            <w:tcW w:w="2125" w:type="dxa"/>
            <w:vAlign w:val="center"/>
          </w:tcPr>
          <w:p w:rsidR="005E430A" w:rsidRDefault="005201EB" w:rsidP="005E430A">
            <w:pPr>
              <w:jc w:val="center"/>
              <w:rPr>
                <w:sz w:val="24"/>
              </w:rPr>
            </w:pPr>
            <w:r>
              <w:rPr>
                <w:sz w:val="24"/>
              </w:rPr>
              <w:t>3</w:t>
            </w:r>
          </w:p>
        </w:tc>
        <w:tc>
          <w:tcPr>
            <w:tcW w:w="1870" w:type="dxa"/>
            <w:vAlign w:val="center"/>
          </w:tcPr>
          <w:p w:rsidR="005E430A" w:rsidRDefault="005201EB" w:rsidP="005E430A">
            <w:pPr>
              <w:jc w:val="center"/>
              <w:rPr>
                <w:sz w:val="24"/>
              </w:rPr>
            </w:pPr>
            <w:r>
              <w:rPr>
                <w:sz w:val="24"/>
              </w:rPr>
              <w:t>3</w:t>
            </w:r>
          </w:p>
        </w:tc>
        <w:tc>
          <w:tcPr>
            <w:tcW w:w="1870" w:type="dxa"/>
            <w:vAlign w:val="center"/>
          </w:tcPr>
          <w:p w:rsidR="005E430A" w:rsidRDefault="005201EB" w:rsidP="00022656">
            <w:pPr>
              <w:jc w:val="center"/>
              <w:rPr>
                <w:sz w:val="24"/>
              </w:rPr>
            </w:pPr>
            <w:r>
              <w:rPr>
                <w:sz w:val="24"/>
              </w:rPr>
              <w:t>2</w:t>
            </w:r>
          </w:p>
        </w:tc>
        <w:tc>
          <w:tcPr>
            <w:tcW w:w="1870" w:type="dxa"/>
            <w:vAlign w:val="center"/>
          </w:tcPr>
          <w:p w:rsidR="005E430A" w:rsidRDefault="005201EB" w:rsidP="005E430A">
            <w:pPr>
              <w:jc w:val="center"/>
              <w:rPr>
                <w:sz w:val="24"/>
              </w:rPr>
            </w:pPr>
            <w:r>
              <w:rPr>
                <w:sz w:val="24"/>
              </w:rPr>
              <w:t>66%</w:t>
            </w:r>
          </w:p>
        </w:tc>
      </w:tr>
      <w:tr w:rsidR="00E102CC" w:rsidTr="005E430A">
        <w:tc>
          <w:tcPr>
            <w:tcW w:w="1615" w:type="dxa"/>
            <w:vAlign w:val="center"/>
          </w:tcPr>
          <w:p w:rsidR="00E102CC" w:rsidRDefault="00E102CC" w:rsidP="00E102CC">
            <w:pPr>
              <w:jc w:val="center"/>
              <w:rPr>
                <w:sz w:val="24"/>
              </w:rPr>
            </w:pPr>
            <w:r>
              <w:rPr>
                <w:sz w:val="24"/>
              </w:rPr>
              <w:t>2015</w:t>
            </w:r>
          </w:p>
        </w:tc>
        <w:tc>
          <w:tcPr>
            <w:tcW w:w="2125" w:type="dxa"/>
            <w:vAlign w:val="center"/>
          </w:tcPr>
          <w:p w:rsidR="00E102CC" w:rsidRDefault="005201EB" w:rsidP="00E102CC">
            <w:pPr>
              <w:jc w:val="center"/>
              <w:rPr>
                <w:sz w:val="24"/>
              </w:rPr>
            </w:pPr>
            <w:r>
              <w:rPr>
                <w:sz w:val="24"/>
              </w:rPr>
              <w:t>4</w:t>
            </w:r>
          </w:p>
        </w:tc>
        <w:tc>
          <w:tcPr>
            <w:tcW w:w="1870" w:type="dxa"/>
            <w:vAlign w:val="center"/>
          </w:tcPr>
          <w:p w:rsidR="00E102CC" w:rsidRDefault="005201EB" w:rsidP="00E102CC">
            <w:pPr>
              <w:jc w:val="center"/>
              <w:rPr>
                <w:sz w:val="24"/>
              </w:rPr>
            </w:pPr>
            <w:r>
              <w:rPr>
                <w:sz w:val="24"/>
              </w:rPr>
              <w:t>4</w:t>
            </w:r>
          </w:p>
        </w:tc>
        <w:tc>
          <w:tcPr>
            <w:tcW w:w="1870" w:type="dxa"/>
            <w:vAlign w:val="center"/>
          </w:tcPr>
          <w:p w:rsidR="00E102CC" w:rsidRDefault="005201EB" w:rsidP="00E102CC">
            <w:pPr>
              <w:jc w:val="center"/>
              <w:rPr>
                <w:sz w:val="24"/>
              </w:rPr>
            </w:pPr>
            <w:r>
              <w:rPr>
                <w:sz w:val="24"/>
              </w:rPr>
              <w:t>3</w:t>
            </w:r>
          </w:p>
        </w:tc>
        <w:tc>
          <w:tcPr>
            <w:tcW w:w="1870" w:type="dxa"/>
            <w:vAlign w:val="center"/>
          </w:tcPr>
          <w:p w:rsidR="00E102CC" w:rsidRDefault="005201EB" w:rsidP="00E102CC">
            <w:pPr>
              <w:jc w:val="center"/>
              <w:rPr>
                <w:sz w:val="24"/>
              </w:rPr>
            </w:pPr>
            <w:r>
              <w:rPr>
                <w:sz w:val="24"/>
              </w:rPr>
              <w:t>75%</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E102CC">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E0315F" w:rsidTr="00E102CC">
        <w:tc>
          <w:tcPr>
            <w:tcW w:w="1402" w:type="dxa"/>
            <w:vAlign w:val="center"/>
          </w:tcPr>
          <w:p w:rsidR="00E0315F" w:rsidRDefault="00E0315F" w:rsidP="00660971">
            <w:pPr>
              <w:jc w:val="center"/>
              <w:rPr>
                <w:sz w:val="24"/>
              </w:rPr>
            </w:pPr>
            <w:r>
              <w:rPr>
                <w:sz w:val="24"/>
              </w:rPr>
              <w:t>2014</w:t>
            </w:r>
          </w:p>
        </w:tc>
        <w:tc>
          <w:tcPr>
            <w:tcW w:w="1696" w:type="dxa"/>
            <w:vAlign w:val="center"/>
          </w:tcPr>
          <w:p w:rsidR="00E0315F" w:rsidRDefault="008A0F53" w:rsidP="00660971">
            <w:pPr>
              <w:jc w:val="center"/>
              <w:rPr>
                <w:sz w:val="24"/>
              </w:rPr>
            </w:pPr>
            <w:r>
              <w:rPr>
                <w:sz w:val="24"/>
              </w:rPr>
              <w:t>8</w:t>
            </w:r>
          </w:p>
        </w:tc>
        <w:tc>
          <w:tcPr>
            <w:tcW w:w="1611" w:type="dxa"/>
            <w:vAlign w:val="center"/>
          </w:tcPr>
          <w:p w:rsidR="00E0315F" w:rsidRDefault="008A0F53" w:rsidP="00660971">
            <w:pPr>
              <w:jc w:val="center"/>
              <w:rPr>
                <w:sz w:val="24"/>
              </w:rPr>
            </w:pPr>
            <w:r>
              <w:rPr>
                <w:sz w:val="24"/>
              </w:rPr>
              <w:t>7</w:t>
            </w:r>
          </w:p>
        </w:tc>
        <w:tc>
          <w:tcPr>
            <w:tcW w:w="1710" w:type="dxa"/>
            <w:vAlign w:val="center"/>
          </w:tcPr>
          <w:p w:rsidR="00E0315F" w:rsidRDefault="008A0F53" w:rsidP="00660971">
            <w:pPr>
              <w:jc w:val="center"/>
              <w:rPr>
                <w:sz w:val="24"/>
              </w:rPr>
            </w:pPr>
            <w:r>
              <w:rPr>
                <w:sz w:val="24"/>
              </w:rPr>
              <w:t>3</w:t>
            </w:r>
          </w:p>
        </w:tc>
        <w:tc>
          <w:tcPr>
            <w:tcW w:w="1660" w:type="dxa"/>
            <w:vAlign w:val="center"/>
          </w:tcPr>
          <w:p w:rsidR="00E0315F" w:rsidRDefault="008A0F53" w:rsidP="00660971">
            <w:pPr>
              <w:jc w:val="center"/>
              <w:rPr>
                <w:sz w:val="24"/>
              </w:rPr>
            </w:pPr>
            <w:r>
              <w:rPr>
                <w:sz w:val="24"/>
              </w:rPr>
              <w:t>3</w:t>
            </w:r>
          </w:p>
        </w:tc>
        <w:tc>
          <w:tcPr>
            <w:tcW w:w="1271" w:type="dxa"/>
          </w:tcPr>
          <w:p w:rsidR="00E0315F" w:rsidRDefault="008A0F53" w:rsidP="00660971">
            <w:pPr>
              <w:jc w:val="center"/>
              <w:rPr>
                <w:sz w:val="24"/>
              </w:rPr>
            </w:pPr>
            <w:r>
              <w:rPr>
                <w:sz w:val="24"/>
              </w:rPr>
              <w:t>100%</w:t>
            </w:r>
          </w:p>
        </w:tc>
      </w:tr>
      <w:tr w:rsidR="00E102CC" w:rsidTr="00E102CC">
        <w:tc>
          <w:tcPr>
            <w:tcW w:w="1402" w:type="dxa"/>
            <w:vAlign w:val="center"/>
          </w:tcPr>
          <w:p w:rsidR="00E102CC" w:rsidRDefault="00E102CC" w:rsidP="00E102CC">
            <w:pPr>
              <w:jc w:val="center"/>
              <w:rPr>
                <w:sz w:val="24"/>
              </w:rPr>
            </w:pPr>
            <w:r>
              <w:rPr>
                <w:sz w:val="24"/>
              </w:rPr>
              <w:t>2015</w:t>
            </w:r>
          </w:p>
        </w:tc>
        <w:tc>
          <w:tcPr>
            <w:tcW w:w="1696" w:type="dxa"/>
            <w:vAlign w:val="center"/>
          </w:tcPr>
          <w:p w:rsidR="00E102CC" w:rsidRDefault="008A0F53" w:rsidP="00E102CC">
            <w:pPr>
              <w:jc w:val="center"/>
              <w:rPr>
                <w:sz w:val="24"/>
              </w:rPr>
            </w:pPr>
            <w:r>
              <w:rPr>
                <w:sz w:val="24"/>
              </w:rPr>
              <w:t>4</w:t>
            </w:r>
          </w:p>
        </w:tc>
        <w:tc>
          <w:tcPr>
            <w:tcW w:w="1611" w:type="dxa"/>
            <w:vAlign w:val="center"/>
          </w:tcPr>
          <w:p w:rsidR="00E102CC" w:rsidRDefault="008A0F53" w:rsidP="00E102CC">
            <w:pPr>
              <w:jc w:val="center"/>
              <w:rPr>
                <w:sz w:val="24"/>
              </w:rPr>
            </w:pPr>
            <w:r>
              <w:rPr>
                <w:sz w:val="24"/>
              </w:rPr>
              <w:t>3</w:t>
            </w:r>
          </w:p>
        </w:tc>
        <w:tc>
          <w:tcPr>
            <w:tcW w:w="1710" w:type="dxa"/>
            <w:vAlign w:val="center"/>
          </w:tcPr>
          <w:p w:rsidR="00E102CC" w:rsidRDefault="008A0F53" w:rsidP="00E102CC">
            <w:pPr>
              <w:jc w:val="center"/>
              <w:rPr>
                <w:sz w:val="24"/>
              </w:rPr>
            </w:pPr>
            <w:r>
              <w:rPr>
                <w:sz w:val="24"/>
              </w:rPr>
              <w:t>2</w:t>
            </w:r>
          </w:p>
        </w:tc>
        <w:tc>
          <w:tcPr>
            <w:tcW w:w="1660" w:type="dxa"/>
            <w:vAlign w:val="center"/>
          </w:tcPr>
          <w:p w:rsidR="00E102CC" w:rsidRDefault="008A0F53" w:rsidP="00E102CC">
            <w:pPr>
              <w:jc w:val="center"/>
              <w:rPr>
                <w:sz w:val="24"/>
              </w:rPr>
            </w:pPr>
            <w:r>
              <w:rPr>
                <w:sz w:val="24"/>
              </w:rPr>
              <w:t>1</w:t>
            </w:r>
          </w:p>
        </w:tc>
        <w:tc>
          <w:tcPr>
            <w:tcW w:w="1271" w:type="dxa"/>
            <w:vAlign w:val="center"/>
          </w:tcPr>
          <w:p w:rsidR="00E102CC" w:rsidRDefault="008A0F53" w:rsidP="00E102CC">
            <w:pPr>
              <w:jc w:val="center"/>
              <w:rPr>
                <w:sz w:val="24"/>
              </w:rPr>
            </w:pPr>
            <w:r>
              <w:rPr>
                <w:sz w:val="24"/>
              </w:rPr>
              <w:t>50%</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7E11EC" w:rsidRDefault="007E11EC"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FA1B59" w:rsidP="00A64C76">
            <w:pPr>
              <w:jc w:val="center"/>
              <w:rPr>
                <w:sz w:val="24"/>
                <w:szCs w:val="24"/>
              </w:rPr>
            </w:pPr>
            <w:r>
              <w:rPr>
                <w:sz w:val="24"/>
                <w:szCs w:val="24"/>
              </w:rPr>
              <w:t>1</w:t>
            </w:r>
          </w:p>
        </w:tc>
        <w:tc>
          <w:tcPr>
            <w:tcW w:w="2338" w:type="dxa"/>
          </w:tcPr>
          <w:p w:rsidR="00A64C76" w:rsidRDefault="00FA1B59" w:rsidP="00A64C76">
            <w:pPr>
              <w:jc w:val="center"/>
              <w:rPr>
                <w:sz w:val="24"/>
                <w:szCs w:val="24"/>
              </w:rPr>
            </w:pPr>
            <w:r>
              <w:rPr>
                <w:sz w:val="24"/>
                <w:szCs w:val="24"/>
              </w:rPr>
              <w:t>2</w:t>
            </w:r>
          </w:p>
        </w:tc>
        <w:tc>
          <w:tcPr>
            <w:tcW w:w="2338" w:type="dxa"/>
          </w:tcPr>
          <w:p w:rsidR="00A64C76" w:rsidRDefault="00FA1B59" w:rsidP="00A64C76">
            <w:pPr>
              <w:jc w:val="center"/>
              <w:rPr>
                <w:sz w:val="24"/>
                <w:szCs w:val="24"/>
              </w:rPr>
            </w:pPr>
            <w:r>
              <w:rPr>
                <w:sz w:val="24"/>
                <w:szCs w:val="24"/>
              </w:rPr>
              <w:t>3</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C03C9D" w:rsidP="00A64C76">
            <w:pPr>
              <w:jc w:val="center"/>
              <w:rPr>
                <w:sz w:val="24"/>
                <w:szCs w:val="24"/>
              </w:rPr>
            </w:pPr>
            <w:r>
              <w:rPr>
                <w:sz w:val="24"/>
                <w:szCs w:val="24"/>
              </w:rPr>
              <w:t>1</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C03C9D" w:rsidP="00A64C76">
            <w:pPr>
              <w:jc w:val="center"/>
              <w:rPr>
                <w:sz w:val="24"/>
                <w:szCs w:val="24"/>
              </w:rPr>
            </w:pPr>
            <w:r>
              <w:rPr>
                <w:sz w:val="24"/>
                <w:szCs w:val="24"/>
              </w:rPr>
              <w:t>1</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A64C76" w:rsidTr="007C2346">
        <w:tc>
          <w:tcPr>
            <w:tcW w:w="1435" w:type="dxa"/>
            <w:shd w:val="clear" w:color="auto" w:fill="800000"/>
            <w:vAlign w:val="center"/>
          </w:tcPr>
          <w:p w:rsidR="00A64C76" w:rsidRPr="00A64C76" w:rsidRDefault="00A64C76" w:rsidP="00660971">
            <w:pPr>
              <w:jc w:val="center"/>
              <w:rPr>
                <w:b/>
                <w:sz w:val="24"/>
                <w:szCs w:val="24"/>
              </w:rPr>
            </w:pPr>
            <w:r w:rsidRPr="00A64C76">
              <w:rPr>
                <w:b/>
                <w:sz w:val="24"/>
              </w:rPr>
              <w:t>Calendar Year</w:t>
            </w:r>
          </w:p>
        </w:tc>
        <w:tc>
          <w:tcPr>
            <w:tcW w:w="2970"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 Employed in the Field </w:t>
            </w:r>
            <w:r w:rsidR="00FA1B59">
              <w:rPr>
                <w:b/>
                <w:sz w:val="24"/>
                <w:szCs w:val="24"/>
              </w:rPr>
              <w:t>in a Single Position</w:t>
            </w:r>
          </w:p>
        </w:tc>
        <w:tc>
          <w:tcPr>
            <w:tcW w:w="2607"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Graduates Employed in the Field </w:t>
            </w:r>
            <w:r w:rsidR="00FA1B59">
              <w:rPr>
                <w:b/>
                <w:sz w:val="24"/>
                <w:szCs w:val="24"/>
              </w:rPr>
              <w:t>in Concurrent Aggregated Positions</w:t>
            </w:r>
          </w:p>
        </w:tc>
        <w:tc>
          <w:tcPr>
            <w:tcW w:w="2338" w:type="dxa"/>
            <w:shd w:val="clear" w:color="auto" w:fill="800000"/>
            <w:vAlign w:val="center"/>
          </w:tcPr>
          <w:p w:rsidR="00A64C76" w:rsidRPr="00A64C76" w:rsidRDefault="00A64C76" w:rsidP="00660971">
            <w:pPr>
              <w:jc w:val="center"/>
              <w:rPr>
                <w:b/>
                <w:sz w:val="24"/>
                <w:szCs w:val="24"/>
              </w:rPr>
            </w:pPr>
            <w:r w:rsidRPr="00A64C76">
              <w:rPr>
                <w:b/>
                <w:sz w:val="24"/>
                <w:szCs w:val="24"/>
              </w:rPr>
              <w:t>Total Graduates Employed in the Field</w:t>
            </w:r>
          </w:p>
        </w:tc>
      </w:tr>
      <w:tr w:rsidR="00A64C76" w:rsidTr="007C2346">
        <w:tc>
          <w:tcPr>
            <w:tcW w:w="1435" w:type="dxa"/>
          </w:tcPr>
          <w:p w:rsidR="00A64C76" w:rsidRDefault="00A64C76" w:rsidP="00660971">
            <w:pPr>
              <w:jc w:val="center"/>
              <w:rPr>
                <w:sz w:val="24"/>
                <w:szCs w:val="24"/>
              </w:rPr>
            </w:pPr>
            <w:r>
              <w:rPr>
                <w:sz w:val="24"/>
                <w:szCs w:val="24"/>
              </w:rPr>
              <w:t>2014</w:t>
            </w:r>
          </w:p>
        </w:tc>
        <w:tc>
          <w:tcPr>
            <w:tcW w:w="2970" w:type="dxa"/>
          </w:tcPr>
          <w:p w:rsidR="00A64C76" w:rsidRDefault="00C03C9D" w:rsidP="00660971">
            <w:pPr>
              <w:jc w:val="center"/>
              <w:rPr>
                <w:sz w:val="24"/>
                <w:szCs w:val="24"/>
              </w:rPr>
            </w:pPr>
            <w:r>
              <w:rPr>
                <w:sz w:val="24"/>
                <w:szCs w:val="24"/>
              </w:rPr>
              <w:t>3</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C03C9D" w:rsidP="00660971">
            <w:pPr>
              <w:jc w:val="center"/>
              <w:rPr>
                <w:sz w:val="24"/>
                <w:szCs w:val="24"/>
              </w:rPr>
            </w:pPr>
            <w:r>
              <w:rPr>
                <w:sz w:val="24"/>
                <w:szCs w:val="24"/>
              </w:rPr>
              <w:t>3</w:t>
            </w:r>
          </w:p>
        </w:tc>
      </w:tr>
      <w:tr w:rsidR="00A64C76" w:rsidTr="007C2346">
        <w:tc>
          <w:tcPr>
            <w:tcW w:w="1435" w:type="dxa"/>
          </w:tcPr>
          <w:p w:rsidR="00A64C76" w:rsidRDefault="00A64C76"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C03C9D" w:rsidP="00660971">
            <w:pPr>
              <w:jc w:val="center"/>
              <w:rPr>
                <w:sz w:val="24"/>
                <w:szCs w:val="24"/>
              </w:rPr>
            </w:pPr>
            <w:r>
              <w:rPr>
                <w:sz w:val="24"/>
                <w:szCs w:val="24"/>
              </w:rPr>
              <w:t>1</w:t>
            </w:r>
          </w:p>
        </w:tc>
        <w:tc>
          <w:tcPr>
            <w:tcW w:w="2338" w:type="dxa"/>
          </w:tcPr>
          <w:p w:rsidR="00A64C76" w:rsidRDefault="00C03C9D" w:rsidP="00660971">
            <w:pPr>
              <w:jc w:val="center"/>
              <w:rPr>
                <w:sz w:val="24"/>
                <w:szCs w:val="24"/>
              </w:rPr>
            </w:pPr>
            <w:r>
              <w:rPr>
                <w:sz w:val="24"/>
                <w:szCs w:val="24"/>
              </w:rPr>
              <w:t>1</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C03C9D" w:rsidP="0077440B">
            <w:pPr>
              <w:jc w:val="center"/>
              <w:rPr>
                <w:sz w:val="24"/>
              </w:rPr>
            </w:pPr>
            <w:r>
              <w:rPr>
                <w:sz w:val="24"/>
              </w:rPr>
              <w:t>3</w:t>
            </w:r>
          </w:p>
        </w:tc>
        <w:tc>
          <w:tcPr>
            <w:tcW w:w="1249" w:type="dxa"/>
            <w:vAlign w:val="center"/>
          </w:tcPr>
          <w:p w:rsidR="001137E4" w:rsidRDefault="00C03C9D" w:rsidP="0077440B">
            <w:pPr>
              <w:jc w:val="center"/>
              <w:rPr>
                <w:sz w:val="24"/>
              </w:rPr>
            </w:pPr>
            <w:r>
              <w:rPr>
                <w:sz w:val="24"/>
              </w:rPr>
              <w:t>3</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FD263E" w:rsidP="0077440B">
            <w:pPr>
              <w:jc w:val="center"/>
              <w:rPr>
                <w:sz w:val="24"/>
              </w:rPr>
            </w:pPr>
            <w:r>
              <w:rPr>
                <w:sz w:val="24"/>
              </w:rPr>
              <w:t>3</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C03C9D" w:rsidP="002C6EBF">
            <w:pPr>
              <w:jc w:val="center"/>
              <w:rPr>
                <w:sz w:val="24"/>
              </w:rPr>
            </w:pPr>
            <w:r>
              <w:rPr>
                <w:sz w:val="24"/>
              </w:rPr>
              <w:t>2</w:t>
            </w:r>
          </w:p>
        </w:tc>
        <w:tc>
          <w:tcPr>
            <w:tcW w:w="1249" w:type="dxa"/>
            <w:vAlign w:val="center"/>
          </w:tcPr>
          <w:p w:rsidR="002C6EBF" w:rsidRDefault="00C03C9D" w:rsidP="002C6EBF">
            <w:pPr>
              <w:jc w:val="center"/>
              <w:rPr>
                <w:sz w:val="24"/>
              </w:rPr>
            </w:pPr>
            <w:r>
              <w:rPr>
                <w:sz w:val="24"/>
              </w:rPr>
              <w:t>1</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FD263E" w:rsidP="002C6EBF">
            <w:pPr>
              <w:jc w:val="center"/>
              <w:rPr>
                <w:sz w:val="24"/>
              </w:rPr>
            </w:pPr>
            <w:r>
              <w:rPr>
                <w:sz w:val="24"/>
              </w:rPr>
              <w:t>1</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001F7890">
        <w:rPr>
          <w:b/>
          <w:sz w:val="24"/>
        </w:rPr>
        <w:t>$47</w:t>
      </w:r>
      <w:r w:rsidRPr="00ED6C01">
        <w:rPr>
          <w:b/>
          <w:sz w:val="24"/>
        </w:rPr>
        <w:t>,</w:t>
      </w:r>
      <w:r w:rsidR="001F7890">
        <w:rPr>
          <w:b/>
          <w:sz w:val="24"/>
        </w:rPr>
        <w:t>6</w:t>
      </w:r>
      <w:r w:rsidRPr="00ED6C01">
        <w:rPr>
          <w:b/>
          <w:sz w:val="24"/>
        </w:rPr>
        <w:t>00</w:t>
      </w:r>
      <w:r>
        <w:rPr>
          <w:sz w:val="24"/>
        </w:rPr>
        <w:t>.  Additional charges may be incurred if the program is not completed on-time.</w:t>
      </w:r>
      <w:r w:rsidR="007E11EC">
        <w:rPr>
          <w:sz w:val="24"/>
        </w:rPr>
        <w:t xml:space="preserve"> </w:t>
      </w:r>
      <w:r w:rsidR="00071E37">
        <w:rPr>
          <w:sz w:val="24"/>
        </w:rPr>
        <w:t xml:space="preserve">  Costs Include tuition, Registration Fee, and Technology Fee.  Does not include campus fees, books and materials, or living expenses.</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9C359A" w:rsidP="008C7730">
            <w:pPr>
              <w:jc w:val="center"/>
              <w:rPr>
                <w:sz w:val="24"/>
              </w:rPr>
            </w:pPr>
            <w:r>
              <w:rPr>
                <w:sz w:val="24"/>
              </w:rPr>
              <w:t>33</w:t>
            </w:r>
            <w:r w:rsidR="00ED6C01">
              <w:rPr>
                <w:sz w:val="24"/>
              </w:rPr>
              <w:t>%</w:t>
            </w:r>
          </w:p>
        </w:tc>
        <w:tc>
          <w:tcPr>
            <w:tcW w:w="2338" w:type="dxa"/>
          </w:tcPr>
          <w:p w:rsidR="00905FC6" w:rsidRDefault="009C359A" w:rsidP="00CF54D8">
            <w:pPr>
              <w:jc w:val="center"/>
              <w:rPr>
                <w:sz w:val="24"/>
              </w:rPr>
            </w:pPr>
            <w:r>
              <w:rPr>
                <w:sz w:val="24"/>
              </w:rPr>
              <w:t>$5812</w:t>
            </w:r>
          </w:p>
        </w:tc>
        <w:tc>
          <w:tcPr>
            <w:tcW w:w="2338" w:type="dxa"/>
          </w:tcPr>
          <w:p w:rsidR="00905FC6" w:rsidRDefault="0002777F" w:rsidP="00CF54D8">
            <w:pPr>
              <w:jc w:val="center"/>
              <w:rPr>
                <w:sz w:val="24"/>
              </w:rPr>
            </w:pPr>
            <w:r>
              <w:rPr>
                <w:sz w:val="24"/>
              </w:rPr>
              <w:t>33</w:t>
            </w:r>
            <w:r w:rsidR="00ED6C01">
              <w:rPr>
                <w:sz w:val="24"/>
              </w:rPr>
              <w:t>%</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6"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8D12DA">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8D12DA">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8D12DA">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bookmarkStart w:id="0" w:name="_GoBack"/>
      <w:bookmarkEnd w:id="0"/>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1E" w:rsidRDefault="00E9551E" w:rsidP="00C05C68">
      <w:pPr>
        <w:spacing w:after="0" w:line="240" w:lineRule="auto"/>
      </w:pPr>
      <w:r>
        <w:separator/>
      </w:r>
    </w:p>
  </w:endnote>
  <w:endnote w:type="continuationSeparator" w:id="0">
    <w:p w:rsidR="00E9551E" w:rsidRDefault="00E9551E"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B749AC">
            <w:pPr>
              <w:pStyle w:val="Footer"/>
              <w:jc w:val="center"/>
            </w:pPr>
            <w:r>
              <w:t xml:space="preserve">School Performance Fact Sheet </w:t>
            </w:r>
            <w:r>
              <w:rPr>
                <w:rFonts w:cstheme="minorHAnsi"/>
              </w:rPr>
              <w:t>·</w:t>
            </w:r>
            <w:r>
              <w:t xml:space="preserve"> </w:t>
            </w:r>
            <w:r w:rsidR="005201EB">
              <w:t>Bachelor of Arts in Bible &amp; Theology</w:t>
            </w:r>
            <w:r>
              <w:t xml:space="preserve"> </w:t>
            </w:r>
            <w:r>
              <w:rPr>
                <w:rFonts w:cstheme="minorHAnsi"/>
              </w:rPr>
              <w:t>·</w:t>
            </w:r>
            <w:r>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8D12DA">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8D12DA">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1E" w:rsidRDefault="00E9551E" w:rsidP="00C05C68">
      <w:pPr>
        <w:spacing w:after="0" w:line="240" w:lineRule="auto"/>
      </w:pPr>
      <w:r>
        <w:separator/>
      </w:r>
    </w:p>
  </w:footnote>
  <w:footnote w:type="continuationSeparator" w:id="0">
    <w:p w:rsidR="00E9551E" w:rsidRDefault="00E9551E"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22656"/>
    <w:rsid w:val="0002777F"/>
    <w:rsid w:val="00033F8F"/>
    <w:rsid w:val="000542D3"/>
    <w:rsid w:val="00071E37"/>
    <w:rsid w:val="000C0ED8"/>
    <w:rsid w:val="001137E4"/>
    <w:rsid w:val="00130B9F"/>
    <w:rsid w:val="001538C8"/>
    <w:rsid w:val="001A3F90"/>
    <w:rsid w:val="001F7890"/>
    <w:rsid w:val="0021248B"/>
    <w:rsid w:val="0028511C"/>
    <w:rsid w:val="002A4818"/>
    <w:rsid w:val="002B736D"/>
    <w:rsid w:val="002C6EBF"/>
    <w:rsid w:val="00335143"/>
    <w:rsid w:val="00471DA9"/>
    <w:rsid w:val="005201EB"/>
    <w:rsid w:val="00582C51"/>
    <w:rsid w:val="005A5C8F"/>
    <w:rsid w:val="005E430A"/>
    <w:rsid w:val="0060279E"/>
    <w:rsid w:val="006137E3"/>
    <w:rsid w:val="00662811"/>
    <w:rsid w:val="0068294C"/>
    <w:rsid w:val="006B1211"/>
    <w:rsid w:val="006D1C63"/>
    <w:rsid w:val="00717BE1"/>
    <w:rsid w:val="00723ED4"/>
    <w:rsid w:val="0077440B"/>
    <w:rsid w:val="007B1A90"/>
    <w:rsid w:val="007C2346"/>
    <w:rsid w:val="007E11EC"/>
    <w:rsid w:val="00882A0B"/>
    <w:rsid w:val="00885237"/>
    <w:rsid w:val="008A0F53"/>
    <w:rsid w:val="008A3204"/>
    <w:rsid w:val="008C7730"/>
    <w:rsid w:val="008D12DA"/>
    <w:rsid w:val="0090462C"/>
    <w:rsid w:val="00905FC6"/>
    <w:rsid w:val="0091756C"/>
    <w:rsid w:val="00935F44"/>
    <w:rsid w:val="00957E7B"/>
    <w:rsid w:val="009C359A"/>
    <w:rsid w:val="00A23156"/>
    <w:rsid w:val="00A64C76"/>
    <w:rsid w:val="00A7035B"/>
    <w:rsid w:val="00A82629"/>
    <w:rsid w:val="00B749AC"/>
    <w:rsid w:val="00BD6B2A"/>
    <w:rsid w:val="00C0394A"/>
    <w:rsid w:val="00C03C9D"/>
    <w:rsid w:val="00C05C68"/>
    <w:rsid w:val="00C217BD"/>
    <w:rsid w:val="00C32FAB"/>
    <w:rsid w:val="00C753EC"/>
    <w:rsid w:val="00C93B68"/>
    <w:rsid w:val="00C95D0A"/>
    <w:rsid w:val="00CA644C"/>
    <w:rsid w:val="00CB0A2F"/>
    <w:rsid w:val="00CB2146"/>
    <w:rsid w:val="00CF54D8"/>
    <w:rsid w:val="00D36B44"/>
    <w:rsid w:val="00E0315F"/>
    <w:rsid w:val="00E102CC"/>
    <w:rsid w:val="00E236C2"/>
    <w:rsid w:val="00E77DA2"/>
    <w:rsid w:val="00E91690"/>
    <w:rsid w:val="00E9551E"/>
    <w:rsid w:val="00EB1774"/>
    <w:rsid w:val="00ED6C01"/>
    <w:rsid w:val="00F14CEE"/>
    <w:rsid w:val="00F458B5"/>
    <w:rsid w:val="00FA1B59"/>
    <w:rsid w:val="00FA669C"/>
    <w:rsid w:val="00FD263E"/>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p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12</cp:revision>
  <dcterms:created xsi:type="dcterms:W3CDTF">2016-11-17T20:25:00Z</dcterms:created>
  <dcterms:modified xsi:type="dcterms:W3CDTF">2016-11-17T21:45:00Z</dcterms:modified>
</cp:coreProperties>
</file>