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105B62">
        <w:rPr>
          <w:b/>
          <w:sz w:val="28"/>
        </w:rPr>
        <w:t>ASSOCIATE OF ARTS IN EARLY CHILDHOOD EDUCATION</w:t>
      </w:r>
      <w:r w:rsidR="006B1211" w:rsidRPr="00C32FAB">
        <w:rPr>
          <w:b/>
          <w:sz w:val="28"/>
        </w:rPr>
        <w:t xml:space="preserve"> – </w:t>
      </w:r>
      <w:r w:rsidR="00361653">
        <w:rPr>
          <w:b/>
          <w:sz w:val="28"/>
        </w:rPr>
        <w:t>2</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4F63A2" w:rsidTr="005F6371">
        <w:tc>
          <w:tcPr>
            <w:tcW w:w="1615" w:type="dxa"/>
            <w:vAlign w:val="center"/>
          </w:tcPr>
          <w:p w:rsidR="004F63A2" w:rsidRDefault="004F63A2" w:rsidP="004F63A2">
            <w:pPr>
              <w:jc w:val="center"/>
              <w:rPr>
                <w:sz w:val="24"/>
              </w:rPr>
            </w:pPr>
            <w:r>
              <w:rPr>
                <w:sz w:val="24"/>
              </w:rPr>
              <w:t>2015</w:t>
            </w:r>
          </w:p>
        </w:tc>
        <w:tc>
          <w:tcPr>
            <w:tcW w:w="2125" w:type="dxa"/>
            <w:vAlign w:val="center"/>
          </w:tcPr>
          <w:p w:rsidR="004F63A2" w:rsidRPr="001C146D" w:rsidRDefault="004F63A2" w:rsidP="004F63A2">
            <w:pPr>
              <w:jc w:val="center"/>
              <w:rPr>
                <w:sz w:val="24"/>
              </w:rPr>
            </w:pPr>
            <w:r w:rsidRPr="001C146D">
              <w:rPr>
                <w:sz w:val="24"/>
              </w:rPr>
              <w:t>0</w:t>
            </w:r>
          </w:p>
        </w:tc>
        <w:tc>
          <w:tcPr>
            <w:tcW w:w="1870" w:type="dxa"/>
            <w:vAlign w:val="center"/>
          </w:tcPr>
          <w:p w:rsidR="004F63A2" w:rsidRPr="001C146D" w:rsidRDefault="004F63A2" w:rsidP="004F63A2">
            <w:pPr>
              <w:jc w:val="center"/>
              <w:rPr>
                <w:sz w:val="24"/>
              </w:rPr>
            </w:pPr>
            <w:r w:rsidRPr="001C146D">
              <w:rPr>
                <w:sz w:val="24"/>
              </w:rPr>
              <w:t>N/A</w:t>
            </w:r>
          </w:p>
        </w:tc>
        <w:tc>
          <w:tcPr>
            <w:tcW w:w="1870" w:type="dxa"/>
            <w:vAlign w:val="center"/>
          </w:tcPr>
          <w:p w:rsidR="004F63A2" w:rsidRPr="001C146D" w:rsidRDefault="004F63A2" w:rsidP="004F63A2">
            <w:pPr>
              <w:jc w:val="center"/>
              <w:rPr>
                <w:sz w:val="24"/>
              </w:rPr>
            </w:pPr>
            <w:r w:rsidRPr="001C146D">
              <w:rPr>
                <w:sz w:val="24"/>
              </w:rPr>
              <w:t>N/A</w:t>
            </w:r>
          </w:p>
        </w:tc>
        <w:tc>
          <w:tcPr>
            <w:tcW w:w="1870" w:type="dxa"/>
            <w:vAlign w:val="center"/>
          </w:tcPr>
          <w:p w:rsidR="004F63A2" w:rsidRPr="001C146D" w:rsidRDefault="004F63A2" w:rsidP="004F63A2">
            <w:pPr>
              <w:jc w:val="center"/>
              <w:rPr>
                <w:sz w:val="24"/>
              </w:rPr>
            </w:pPr>
            <w:r w:rsidRPr="001C146D">
              <w:rPr>
                <w:sz w:val="24"/>
              </w:rPr>
              <w:t>N/A</w:t>
            </w:r>
          </w:p>
        </w:tc>
      </w:tr>
      <w:tr w:rsidR="004F63A2" w:rsidTr="005F6371">
        <w:tc>
          <w:tcPr>
            <w:tcW w:w="1615" w:type="dxa"/>
            <w:vAlign w:val="center"/>
          </w:tcPr>
          <w:p w:rsidR="004F63A2" w:rsidRDefault="004F63A2" w:rsidP="004F63A2">
            <w:pPr>
              <w:jc w:val="center"/>
              <w:rPr>
                <w:sz w:val="24"/>
              </w:rPr>
            </w:pPr>
            <w:r>
              <w:rPr>
                <w:sz w:val="24"/>
              </w:rPr>
              <w:t>2016</w:t>
            </w:r>
          </w:p>
        </w:tc>
        <w:tc>
          <w:tcPr>
            <w:tcW w:w="2125" w:type="dxa"/>
            <w:vAlign w:val="center"/>
          </w:tcPr>
          <w:p w:rsidR="004F63A2" w:rsidRPr="001C146D" w:rsidRDefault="004F63A2" w:rsidP="004F63A2">
            <w:pPr>
              <w:jc w:val="center"/>
              <w:rPr>
                <w:sz w:val="24"/>
              </w:rPr>
            </w:pPr>
            <w:r w:rsidRPr="001C146D">
              <w:rPr>
                <w:sz w:val="24"/>
              </w:rPr>
              <w:t>0</w:t>
            </w:r>
          </w:p>
        </w:tc>
        <w:tc>
          <w:tcPr>
            <w:tcW w:w="1870" w:type="dxa"/>
            <w:vAlign w:val="center"/>
          </w:tcPr>
          <w:p w:rsidR="004F63A2" w:rsidRPr="001C146D" w:rsidRDefault="004F63A2" w:rsidP="004F63A2">
            <w:pPr>
              <w:jc w:val="center"/>
              <w:rPr>
                <w:sz w:val="24"/>
              </w:rPr>
            </w:pPr>
            <w:r w:rsidRPr="001C146D">
              <w:rPr>
                <w:sz w:val="24"/>
              </w:rPr>
              <w:t>N/A</w:t>
            </w:r>
          </w:p>
        </w:tc>
        <w:tc>
          <w:tcPr>
            <w:tcW w:w="1870" w:type="dxa"/>
            <w:vAlign w:val="center"/>
          </w:tcPr>
          <w:p w:rsidR="004F63A2" w:rsidRPr="001C146D" w:rsidRDefault="004F63A2" w:rsidP="004F63A2">
            <w:pPr>
              <w:jc w:val="center"/>
              <w:rPr>
                <w:sz w:val="24"/>
              </w:rPr>
            </w:pPr>
            <w:r w:rsidRPr="001C146D">
              <w:rPr>
                <w:sz w:val="24"/>
              </w:rPr>
              <w:t>N/A</w:t>
            </w:r>
          </w:p>
        </w:tc>
        <w:tc>
          <w:tcPr>
            <w:tcW w:w="1870" w:type="dxa"/>
            <w:vAlign w:val="center"/>
          </w:tcPr>
          <w:p w:rsidR="004F63A2" w:rsidRPr="001C146D" w:rsidRDefault="004F63A2" w:rsidP="004F63A2">
            <w:pPr>
              <w:jc w:val="center"/>
              <w:rPr>
                <w:sz w:val="24"/>
              </w:rPr>
            </w:pPr>
            <w:r w:rsidRPr="001C146D">
              <w:rPr>
                <w:sz w:val="24"/>
              </w:rPr>
              <w:t>N/A</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4F63A2" w:rsidTr="007363CC">
        <w:tc>
          <w:tcPr>
            <w:tcW w:w="1402" w:type="dxa"/>
            <w:vAlign w:val="center"/>
          </w:tcPr>
          <w:p w:rsidR="004F63A2" w:rsidRDefault="004F63A2" w:rsidP="004F63A2">
            <w:pPr>
              <w:jc w:val="center"/>
              <w:rPr>
                <w:sz w:val="24"/>
              </w:rPr>
            </w:pPr>
            <w:r>
              <w:rPr>
                <w:sz w:val="24"/>
              </w:rPr>
              <w:t>2015</w:t>
            </w:r>
          </w:p>
        </w:tc>
        <w:tc>
          <w:tcPr>
            <w:tcW w:w="1696" w:type="dxa"/>
            <w:vAlign w:val="center"/>
          </w:tcPr>
          <w:p w:rsidR="004F63A2" w:rsidRPr="001C146D" w:rsidRDefault="004F63A2" w:rsidP="004F63A2">
            <w:pPr>
              <w:jc w:val="center"/>
              <w:rPr>
                <w:sz w:val="24"/>
              </w:rPr>
            </w:pPr>
            <w:r w:rsidRPr="001C146D">
              <w:rPr>
                <w:sz w:val="24"/>
              </w:rPr>
              <w:t>0</w:t>
            </w:r>
          </w:p>
        </w:tc>
        <w:tc>
          <w:tcPr>
            <w:tcW w:w="1611" w:type="dxa"/>
            <w:vAlign w:val="center"/>
          </w:tcPr>
          <w:p w:rsidR="004F63A2" w:rsidRPr="001C146D" w:rsidRDefault="004F63A2" w:rsidP="004F63A2">
            <w:pPr>
              <w:jc w:val="center"/>
              <w:rPr>
                <w:sz w:val="24"/>
              </w:rPr>
            </w:pPr>
            <w:r w:rsidRPr="001C146D">
              <w:rPr>
                <w:sz w:val="24"/>
              </w:rPr>
              <w:t>N/A</w:t>
            </w:r>
          </w:p>
        </w:tc>
        <w:tc>
          <w:tcPr>
            <w:tcW w:w="1710" w:type="dxa"/>
            <w:vAlign w:val="center"/>
          </w:tcPr>
          <w:p w:rsidR="004F63A2" w:rsidRPr="001C146D" w:rsidRDefault="004F63A2" w:rsidP="004F63A2">
            <w:pPr>
              <w:jc w:val="center"/>
              <w:rPr>
                <w:sz w:val="24"/>
              </w:rPr>
            </w:pPr>
            <w:r w:rsidRPr="001C146D">
              <w:rPr>
                <w:sz w:val="24"/>
              </w:rPr>
              <w:t>N/A</w:t>
            </w:r>
          </w:p>
        </w:tc>
        <w:tc>
          <w:tcPr>
            <w:tcW w:w="1660" w:type="dxa"/>
            <w:vAlign w:val="center"/>
          </w:tcPr>
          <w:p w:rsidR="004F63A2" w:rsidRPr="001C146D" w:rsidRDefault="004F63A2" w:rsidP="004F63A2">
            <w:pPr>
              <w:jc w:val="center"/>
              <w:rPr>
                <w:sz w:val="24"/>
              </w:rPr>
            </w:pPr>
            <w:r w:rsidRPr="001C146D">
              <w:rPr>
                <w:sz w:val="24"/>
              </w:rPr>
              <w:t>N/A</w:t>
            </w:r>
          </w:p>
        </w:tc>
        <w:tc>
          <w:tcPr>
            <w:tcW w:w="1271" w:type="dxa"/>
            <w:vAlign w:val="center"/>
          </w:tcPr>
          <w:p w:rsidR="004F63A2" w:rsidRPr="001C146D" w:rsidRDefault="004F63A2" w:rsidP="004F63A2">
            <w:pPr>
              <w:jc w:val="center"/>
              <w:rPr>
                <w:sz w:val="24"/>
              </w:rPr>
            </w:pPr>
            <w:r w:rsidRPr="001C146D">
              <w:rPr>
                <w:sz w:val="24"/>
              </w:rPr>
              <w:t>N/A</w:t>
            </w:r>
          </w:p>
        </w:tc>
      </w:tr>
      <w:tr w:rsidR="004F63A2" w:rsidTr="00945F5F">
        <w:tc>
          <w:tcPr>
            <w:tcW w:w="1402" w:type="dxa"/>
            <w:vAlign w:val="center"/>
          </w:tcPr>
          <w:p w:rsidR="004F63A2" w:rsidRDefault="004F63A2" w:rsidP="004F63A2">
            <w:pPr>
              <w:jc w:val="center"/>
              <w:rPr>
                <w:sz w:val="24"/>
              </w:rPr>
            </w:pPr>
            <w:r>
              <w:rPr>
                <w:sz w:val="24"/>
              </w:rPr>
              <w:t>2016</w:t>
            </w:r>
          </w:p>
        </w:tc>
        <w:tc>
          <w:tcPr>
            <w:tcW w:w="1696" w:type="dxa"/>
            <w:vAlign w:val="center"/>
          </w:tcPr>
          <w:p w:rsidR="004F63A2" w:rsidRPr="001C146D" w:rsidRDefault="004F63A2" w:rsidP="004F63A2">
            <w:pPr>
              <w:jc w:val="center"/>
              <w:rPr>
                <w:sz w:val="24"/>
              </w:rPr>
            </w:pPr>
            <w:r w:rsidRPr="001C146D">
              <w:rPr>
                <w:sz w:val="24"/>
              </w:rPr>
              <w:t>0</w:t>
            </w:r>
          </w:p>
        </w:tc>
        <w:tc>
          <w:tcPr>
            <w:tcW w:w="1611" w:type="dxa"/>
            <w:vAlign w:val="center"/>
          </w:tcPr>
          <w:p w:rsidR="004F63A2" w:rsidRPr="001C146D" w:rsidRDefault="004F63A2" w:rsidP="004F63A2">
            <w:pPr>
              <w:jc w:val="center"/>
              <w:rPr>
                <w:sz w:val="24"/>
              </w:rPr>
            </w:pPr>
            <w:r w:rsidRPr="001C146D">
              <w:rPr>
                <w:sz w:val="24"/>
              </w:rPr>
              <w:t>N/A</w:t>
            </w:r>
          </w:p>
        </w:tc>
        <w:tc>
          <w:tcPr>
            <w:tcW w:w="1710" w:type="dxa"/>
            <w:vAlign w:val="center"/>
          </w:tcPr>
          <w:p w:rsidR="004F63A2" w:rsidRPr="001C146D" w:rsidRDefault="004F63A2" w:rsidP="004F63A2">
            <w:pPr>
              <w:jc w:val="center"/>
              <w:rPr>
                <w:sz w:val="24"/>
              </w:rPr>
            </w:pPr>
            <w:r w:rsidRPr="001C146D">
              <w:rPr>
                <w:sz w:val="24"/>
              </w:rPr>
              <w:t>N/A</w:t>
            </w:r>
          </w:p>
        </w:tc>
        <w:tc>
          <w:tcPr>
            <w:tcW w:w="1660" w:type="dxa"/>
            <w:vAlign w:val="center"/>
          </w:tcPr>
          <w:p w:rsidR="004F63A2" w:rsidRPr="001C146D" w:rsidRDefault="004F63A2" w:rsidP="004F63A2">
            <w:pPr>
              <w:jc w:val="center"/>
              <w:rPr>
                <w:sz w:val="24"/>
              </w:rPr>
            </w:pPr>
            <w:r w:rsidRPr="001C146D">
              <w:rPr>
                <w:sz w:val="24"/>
              </w:rPr>
              <w:t>N/A</w:t>
            </w:r>
          </w:p>
        </w:tc>
        <w:tc>
          <w:tcPr>
            <w:tcW w:w="1271" w:type="dxa"/>
            <w:vAlign w:val="center"/>
          </w:tcPr>
          <w:p w:rsidR="004F63A2" w:rsidRPr="001C146D" w:rsidRDefault="004F63A2" w:rsidP="004F63A2">
            <w:pPr>
              <w:jc w:val="center"/>
              <w:rPr>
                <w:sz w:val="24"/>
              </w:rPr>
            </w:pPr>
            <w:r w:rsidRPr="001C146D">
              <w:rPr>
                <w:sz w:val="24"/>
              </w:rPr>
              <w:t>N/A</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4F63A2" w:rsidRDefault="008A3204" w:rsidP="00A64C76">
            <w:pPr>
              <w:jc w:val="center"/>
              <w:rPr>
                <w:sz w:val="24"/>
                <w:szCs w:val="24"/>
              </w:rPr>
            </w:pPr>
            <w:r w:rsidRPr="004F63A2">
              <w:rPr>
                <w:sz w:val="24"/>
                <w:szCs w:val="24"/>
              </w:rPr>
              <w:t>0</w:t>
            </w:r>
          </w:p>
        </w:tc>
        <w:tc>
          <w:tcPr>
            <w:tcW w:w="2338" w:type="dxa"/>
          </w:tcPr>
          <w:p w:rsidR="00A64C76" w:rsidRPr="004F63A2" w:rsidRDefault="008A3204" w:rsidP="00A64C76">
            <w:pPr>
              <w:jc w:val="center"/>
              <w:rPr>
                <w:sz w:val="24"/>
                <w:szCs w:val="24"/>
              </w:rPr>
            </w:pPr>
            <w:r w:rsidRPr="004F63A2">
              <w:rPr>
                <w:sz w:val="24"/>
                <w:szCs w:val="24"/>
              </w:rPr>
              <w:t>0</w:t>
            </w:r>
          </w:p>
        </w:tc>
        <w:tc>
          <w:tcPr>
            <w:tcW w:w="2338" w:type="dxa"/>
          </w:tcPr>
          <w:p w:rsidR="00A64C76" w:rsidRPr="004F63A2" w:rsidRDefault="008A3204" w:rsidP="00A64C76">
            <w:pPr>
              <w:jc w:val="center"/>
              <w:rPr>
                <w:sz w:val="24"/>
                <w:szCs w:val="24"/>
              </w:rPr>
            </w:pPr>
            <w:r w:rsidRPr="004F63A2">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4F63A2" w:rsidRDefault="008A3204" w:rsidP="00660971">
            <w:pPr>
              <w:jc w:val="center"/>
              <w:rPr>
                <w:sz w:val="24"/>
                <w:szCs w:val="24"/>
              </w:rPr>
            </w:pPr>
            <w:r w:rsidRPr="004F63A2">
              <w:rPr>
                <w:sz w:val="24"/>
                <w:szCs w:val="24"/>
              </w:rPr>
              <w:t>0</w:t>
            </w:r>
          </w:p>
        </w:tc>
        <w:tc>
          <w:tcPr>
            <w:tcW w:w="2607" w:type="dxa"/>
          </w:tcPr>
          <w:p w:rsidR="00A64C76" w:rsidRPr="004F63A2" w:rsidRDefault="008A3204" w:rsidP="00660971">
            <w:pPr>
              <w:jc w:val="center"/>
              <w:rPr>
                <w:sz w:val="24"/>
                <w:szCs w:val="24"/>
              </w:rPr>
            </w:pPr>
            <w:r w:rsidRPr="004F63A2">
              <w:rPr>
                <w:sz w:val="24"/>
                <w:szCs w:val="24"/>
              </w:rPr>
              <w:t>0</w:t>
            </w:r>
          </w:p>
        </w:tc>
        <w:tc>
          <w:tcPr>
            <w:tcW w:w="2338" w:type="dxa"/>
          </w:tcPr>
          <w:p w:rsidR="00A64C76" w:rsidRPr="004F63A2" w:rsidRDefault="008A3204" w:rsidP="00660971">
            <w:pPr>
              <w:jc w:val="center"/>
              <w:rPr>
                <w:sz w:val="24"/>
                <w:szCs w:val="24"/>
              </w:rPr>
            </w:pPr>
            <w:r w:rsidRPr="004F63A2">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4F63A2" w:rsidRDefault="008A3204" w:rsidP="0028511C">
            <w:pPr>
              <w:jc w:val="center"/>
              <w:rPr>
                <w:sz w:val="24"/>
              </w:rPr>
            </w:pPr>
            <w:r w:rsidRPr="004F63A2">
              <w:rPr>
                <w:sz w:val="24"/>
              </w:rPr>
              <w:t>0</w:t>
            </w:r>
          </w:p>
        </w:tc>
        <w:tc>
          <w:tcPr>
            <w:tcW w:w="3117" w:type="dxa"/>
            <w:vAlign w:val="center"/>
          </w:tcPr>
          <w:p w:rsidR="00EB1774" w:rsidRPr="004F63A2" w:rsidRDefault="008A3204" w:rsidP="0028511C">
            <w:pPr>
              <w:jc w:val="center"/>
              <w:rPr>
                <w:sz w:val="24"/>
              </w:rPr>
            </w:pPr>
            <w:r w:rsidRPr="004F63A2">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4F63A2" w:rsidRDefault="008A3204" w:rsidP="00660971">
            <w:pPr>
              <w:jc w:val="center"/>
              <w:rPr>
                <w:sz w:val="24"/>
              </w:rPr>
            </w:pPr>
            <w:r w:rsidRPr="004F63A2">
              <w:rPr>
                <w:sz w:val="24"/>
              </w:rPr>
              <w:t>0</w:t>
            </w:r>
          </w:p>
        </w:tc>
        <w:tc>
          <w:tcPr>
            <w:tcW w:w="3117" w:type="dxa"/>
            <w:shd w:val="clear" w:color="auto" w:fill="auto"/>
            <w:vAlign w:val="center"/>
          </w:tcPr>
          <w:p w:rsidR="00882A0B" w:rsidRPr="004F63A2" w:rsidRDefault="008A3204" w:rsidP="00660971">
            <w:pPr>
              <w:jc w:val="center"/>
              <w:rPr>
                <w:sz w:val="24"/>
              </w:rPr>
            </w:pPr>
            <w:r w:rsidRPr="004F63A2">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4F63A2" w:rsidRDefault="002C6EBF" w:rsidP="002C6EBF">
            <w:pPr>
              <w:jc w:val="center"/>
              <w:rPr>
                <w:sz w:val="24"/>
              </w:rPr>
            </w:pPr>
            <w:r w:rsidRPr="004F63A2">
              <w:rPr>
                <w:sz w:val="24"/>
              </w:rPr>
              <w:t>0</w:t>
            </w:r>
          </w:p>
        </w:tc>
        <w:tc>
          <w:tcPr>
            <w:tcW w:w="1249" w:type="dxa"/>
            <w:vAlign w:val="center"/>
          </w:tcPr>
          <w:p w:rsidR="002C6EBF" w:rsidRPr="004F63A2" w:rsidRDefault="002C6EBF" w:rsidP="002C6EBF">
            <w:pPr>
              <w:jc w:val="center"/>
              <w:rPr>
                <w:sz w:val="24"/>
              </w:rPr>
            </w:pPr>
            <w:r w:rsidRPr="004F63A2">
              <w:rPr>
                <w:sz w:val="24"/>
              </w:rPr>
              <w:t>N/A</w:t>
            </w:r>
          </w:p>
        </w:tc>
        <w:tc>
          <w:tcPr>
            <w:tcW w:w="1082" w:type="dxa"/>
            <w:vAlign w:val="center"/>
          </w:tcPr>
          <w:p w:rsidR="002C6EBF" w:rsidRPr="004F63A2" w:rsidRDefault="002C6EBF" w:rsidP="002C6EBF">
            <w:pPr>
              <w:jc w:val="center"/>
              <w:rPr>
                <w:sz w:val="24"/>
              </w:rPr>
            </w:pPr>
            <w:r w:rsidRPr="004F63A2">
              <w:rPr>
                <w:sz w:val="24"/>
              </w:rPr>
              <w:t>N/A</w:t>
            </w:r>
          </w:p>
        </w:tc>
        <w:tc>
          <w:tcPr>
            <w:tcW w:w="1082" w:type="dxa"/>
            <w:vAlign w:val="center"/>
          </w:tcPr>
          <w:p w:rsidR="002C6EBF" w:rsidRPr="004F63A2" w:rsidRDefault="002C6EBF" w:rsidP="002C6EBF">
            <w:pPr>
              <w:jc w:val="center"/>
              <w:rPr>
                <w:sz w:val="24"/>
              </w:rPr>
            </w:pPr>
            <w:r w:rsidRPr="004F63A2">
              <w:rPr>
                <w:sz w:val="24"/>
              </w:rPr>
              <w:t>N/A</w:t>
            </w:r>
          </w:p>
        </w:tc>
        <w:tc>
          <w:tcPr>
            <w:tcW w:w="1082" w:type="dxa"/>
            <w:vAlign w:val="center"/>
          </w:tcPr>
          <w:p w:rsidR="002C6EBF" w:rsidRPr="004F63A2" w:rsidRDefault="002C6EBF" w:rsidP="002C6EBF">
            <w:pPr>
              <w:jc w:val="center"/>
              <w:rPr>
                <w:sz w:val="24"/>
              </w:rPr>
            </w:pPr>
            <w:r w:rsidRPr="004F63A2">
              <w:rPr>
                <w:sz w:val="24"/>
              </w:rPr>
              <w:t>N/A</w:t>
            </w:r>
          </w:p>
        </w:tc>
        <w:tc>
          <w:tcPr>
            <w:tcW w:w="1082" w:type="dxa"/>
            <w:vAlign w:val="center"/>
          </w:tcPr>
          <w:p w:rsidR="002C6EBF" w:rsidRPr="004F63A2" w:rsidRDefault="002C6EBF" w:rsidP="002C6EBF">
            <w:pPr>
              <w:jc w:val="center"/>
              <w:rPr>
                <w:sz w:val="24"/>
              </w:rPr>
            </w:pPr>
            <w:r w:rsidRPr="004F63A2">
              <w:rPr>
                <w:sz w:val="24"/>
              </w:rPr>
              <w:t>N/A</w:t>
            </w:r>
          </w:p>
        </w:tc>
        <w:tc>
          <w:tcPr>
            <w:tcW w:w="1413" w:type="dxa"/>
            <w:vAlign w:val="center"/>
          </w:tcPr>
          <w:p w:rsidR="002C6EBF" w:rsidRPr="004F63A2" w:rsidRDefault="002C6EBF" w:rsidP="002C6EBF">
            <w:pPr>
              <w:jc w:val="center"/>
              <w:rPr>
                <w:sz w:val="24"/>
              </w:rPr>
            </w:pPr>
            <w:r w:rsidRPr="004F63A2">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$2</w:t>
      </w:r>
      <w:r w:rsidR="00852CEF" w:rsidRPr="00852CEF">
        <w:rPr>
          <w:b/>
          <w:sz w:val="24"/>
        </w:rPr>
        <w:t>4</w:t>
      </w:r>
      <w:r w:rsidRPr="00852CEF">
        <w:rPr>
          <w:b/>
          <w:sz w:val="24"/>
        </w:rPr>
        <w:t>,</w:t>
      </w:r>
      <w:r w:rsidR="00DB36A7">
        <w:rPr>
          <w:b/>
          <w:sz w:val="24"/>
        </w:rPr>
        <w:t>8</w:t>
      </w:r>
      <w:bookmarkStart w:id="0" w:name="_GoBack"/>
      <w:bookmarkEnd w:id="0"/>
      <w:r w:rsidR="00FD2BA7" w:rsidRPr="00852CEF">
        <w:rPr>
          <w:b/>
          <w:sz w:val="24"/>
        </w:rPr>
        <w:t>5</w:t>
      </w:r>
      <w:r w:rsidR="0027110C" w:rsidRPr="00852CEF">
        <w:rPr>
          <w:b/>
          <w:sz w:val="24"/>
        </w:rPr>
        <w:t>0</w:t>
      </w:r>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BA3D0E" w:rsidRDefault="00ED6C01" w:rsidP="00CF54D8">
            <w:pPr>
              <w:jc w:val="center"/>
              <w:rPr>
                <w:sz w:val="24"/>
              </w:rPr>
            </w:pPr>
            <w:r w:rsidRPr="00BA3D0E">
              <w:rPr>
                <w:sz w:val="24"/>
              </w:rPr>
              <w:t>0%</w:t>
            </w:r>
          </w:p>
        </w:tc>
        <w:tc>
          <w:tcPr>
            <w:tcW w:w="2338" w:type="dxa"/>
          </w:tcPr>
          <w:p w:rsidR="00905FC6" w:rsidRPr="00BA3D0E" w:rsidRDefault="00ED6C01" w:rsidP="00CF54D8">
            <w:pPr>
              <w:jc w:val="center"/>
              <w:rPr>
                <w:sz w:val="24"/>
              </w:rPr>
            </w:pPr>
            <w:r w:rsidRPr="00BA3D0E">
              <w:rPr>
                <w:sz w:val="24"/>
              </w:rPr>
              <w:t>$0</w:t>
            </w:r>
          </w:p>
        </w:tc>
        <w:tc>
          <w:tcPr>
            <w:tcW w:w="2338" w:type="dxa"/>
          </w:tcPr>
          <w:p w:rsidR="00905FC6" w:rsidRPr="00BA3D0E" w:rsidRDefault="00ED6C01" w:rsidP="00CF54D8">
            <w:pPr>
              <w:jc w:val="center"/>
              <w:rPr>
                <w:sz w:val="24"/>
              </w:rPr>
            </w:pPr>
            <w:r w:rsidRPr="00BA3D0E">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A9" w:rsidRDefault="00430BA9" w:rsidP="00C05C68">
      <w:pPr>
        <w:spacing w:after="0" w:line="240" w:lineRule="auto"/>
      </w:pPr>
      <w:r>
        <w:separator/>
      </w:r>
    </w:p>
  </w:endnote>
  <w:endnote w:type="continuationSeparator" w:id="0">
    <w:p w:rsidR="00430BA9" w:rsidRDefault="00430BA9"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4F63A2">
            <w:pPr>
              <w:pStyle w:val="Footer"/>
              <w:jc w:val="center"/>
            </w:pPr>
            <w:r>
              <w:t xml:space="preserve">2016 </w:t>
            </w:r>
            <w:r w:rsidR="0007446B">
              <w:t xml:space="preserve">School Performance Fact Sheet </w:t>
            </w:r>
            <w:r w:rsidR="0007446B">
              <w:rPr>
                <w:rFonts w:cstheme="minorHAnsi"/>
              </w:rPr>
              <w:t>·</w:t>
            </w:r>
            <w:r w:rsidR="0007446B">
              <w:t xml:space="preserve"> </w:t>
            </w:r>
            <w:r w:rsidR="00F06986">
              <w:t xml:space="preserve">Associate of Arts in </w:t>
            </w:r>
            <w:r>
              <w:t>Early Childhood Education</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DB36A7">
              <w:rPr>
                <w:b/>
                <w:bCs/>
                <w:noProof/>
              </w:rPr>
              <w:t>4</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DB36A7">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A9" w:rsidRDefault="00430BA9" w:rsidP="00C05C68">
      <w:pPr>
        <w:spacing w:after="0" w:line="240" w:lineRule="auto"/>
      </w:pPr>
      <w:r>
        <w:separator/>
      </w:r>
    </w:p>
  </w:footnote>
  <w:footnote w:type="continuationSeparator" w:id="0">
    <w:p w:rsidR="00430BA9" w:rsidRDefault="00430BA9"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105B62"/>
    <w:rsid w:val="001137E4"/>
    <w:rsid w:val="00130B9F"/>
    <w:rsid w:val="001538C8"/>
    <w:rsid w:val="00177FF0"/>
    <w:rsid w:val="001C146D"/>
    <w:rsid w:val="0021248B"/>
    <w:rsid w:val="0027110C"/>
    <w:rsid w:val="0028511C"/>
    <w:rsid w:val="00290E6D"/>
    <w:rsid w:val="002A4818"/>
    <w:rsid w:val="002B736D"/>
    <w:rsid w:val="002C6EBF"/>
    <w:rsid w:val="002F0DB2"/>
    <w:rsid w:val="00335143"/>
    <w:rsid w:val="00343549"/>
    <w:rsid w:val="00361653"/>
    <w:rsid w:val="0036258C"/>
    <w:rsid w:val="003A6E24"/>
    <w:rsid w:val="00430BA9"/>
    <w:rsid w:val="00444143"/>
    <w:rsid w:val="00471DA9"/>
    <w:rsid w:val="004A699D"/>
    <w:rsid w:val="004B0300"/>
    <w:rsid w:val="004D6F87"/>
    <w:rsid w:val="004F63A2"/>
    <w:rsid w:val="00512A6B"/>
    <w:rsid w:val="00550F0F"/>
    <w:rsid w:val="00557691"/>
    <w:rsid w:val="0056754F"/>
    <w:rsid w:val="00582C51"/>
    <w:rsid w:val="005A5C8F"/>
    <w:rsid w:val="005B1795"/>
    <w:rsid w:val="005C5341"/>
    <w:rsid w:val="005E430A"/>
    <w:rsid w:val="006135D3"/>
    <w:rsid w:val="006137E3"/>
    <w:rsid w:val="00680177"/>
    <w:rsid w:val="0068294C"/>
    <w:rsid w:val="006A5167"/>
    <w:rsid w:val="006B1211"/>
    <w:rsid w:val="006D1C63"/>
    <w:rsid w:val="0071300F"/>
    <w:rsid w:val="00717BE1"/>
    <w:rsid w:val="00723ED4"/>
    <w:rsid w:val="00746344"/>
    <w:rsid w:val="0077440B"/>
    <w:rsid w:val="007B1A90"/>
    <w:rsid w:val="007E11EC"/>
    <w:rsid w:val="00802E36"/>
    <w:rsid w:val="0084710F"/>
    <w:rsid w:val="00852CEF"/>
    <w:rsid w:val="00882A0B"/>
    <w:rsid w:val="00885237"/>
    <w:rsid w:val="00891059"/>
    <w:rsid w:val="008926AC"/>
    <w:rsid w:val="00892FB7"/>
    <w:rsid w:val="008A3204"/>
    <w:rsid w:val="008C21F6"/>
    <w:rsid w:val="0090462C"/>
    <w:rsid w:val="00905FC6"/>
    <w:rsid w:val="00922B6D"/>
    <w:rsid w:val="00935F44"/>
    <w:rsid w:val="00937FBC"/>
    <w:rsid w:val="00957E7B"/>
    <w:rsid w:val="00A43C0A"/>
    <w:rsid w:val="00A64C76"/>
    <w:rsid w:val="00AB3AE0"/>
    <w:rsid w:val="00AD3787"/>
    <w:rsid w:val="00B10C90"/>
    <w:rsid w:val="00B2656D"/>
    <w:rsid w:val="00BA3D0E"/>
    <w:rsid w:val="00BB3600"/>
    <w:rsid w:val="00BD6B2A"/>
    <w:rsid w:val="00C05C68"/>
    <w:rsid w:val="00C123E3"/>
    <w:rsid w:val="00C126CF"/>
    <w:rsid w:val="00C217BD"/>
    <w:rsid w:val="00C32FAB"/>
    <w:rsid w:val="00C76E6C"/>
    <w:rsid w:val="00C77F4A"/>
    <w:rsid w:val="00C93B68"/>
    <w:rsid w:val="00C955E7"/>
    <w:rsid w:val="00C95D0A"/>
    <w:rsid w:val="00CA644C"/>
    <w:rsid w:val="00CB0A2F"/>
    <w:rsid w:val="00CF54D8"/>
    <w:rsid w:val="00D36B44"/>
    <w:rsid w:val="00DB36A7"/>
    <w:rsid w:val="00DD5AC5"/>
    <w:rsid w:val="00E0315F"/>
    <w:rsid w:val="00E16DA0"/>
    <w:rsid w:val="00E236C2"/>
    <w:rsid w:val="00E26170"/>
    <w:rsid w:val="00E469D6"/>
    <w:rsid w:val="00EB1774"/>
    <w:rsid w:val="00ED6C01"/>
    <w:rsid w:val="00F06986"/>
    <w:rsid w:val="00F14CEE"/>
    <w:rsid w:val="00F458B5"/>
    <w:rsid w:val="00F47751"/>
    <w:rsid w:val="00F940A2"/>
    <w:rsid w:val="00FA669C"/>
    <w:rsid w:val="00FD2BA7"/>
    <w:rsid w:val="00FE05C4"/>
    <w:rsid w:val="00FF2E10"/>
    <w:rsid w:val="00FF46DE"/>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FF555"/>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469D-E13B-495B-BD04-7A7D163D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6</cp:revision>
  <cp:lastPrinted>2017-11-28T17:24:00Z</cp:lastPrinted>
  <dcterms:created xsi:type="dcterms:W3CDTF">2017-11-28T20:52:00Z</dcterms:created>
  <dcterms:modified xsi:type="dcterms:W3CDTF">2018-01-17T20:38:00Z</dcterms:modified>
</cp:coreProperties>
</file>